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38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44"/>
        <w:gridCol w:w="4593"/>
      </w:tblGrid>
      <w:tr>
        <w:trPr>
          <w:trHeight w:val="4781" w:hRule="atLeast"/>
          <w:cantSplit w:val="true"/>
        </w:trPr>
        <w:tc>
          <w:tcPr>
            <w:tcW w:w="5144" w:type="dxa"/>
            <w:tcBorders/>
          </w:tcPr>
          <w:p>
            <w:pPr>
              <w:pStyle w:val="Normal"/>
              <w:widowControl w:val="false"/>
              <w:jc w:val="center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</w:r>
          </w:p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</w:r>
          </w:p>
          <w:p>
            <w:pPr>
              <w:pStyle w:val="Normal"/>
              <w:widowControl w:val="false"/>
              <w:spacing w:lineRule="exact" w:line="200" w:before="120" w:after="0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</w:r>
          </w:p>
          <w:p>
            <w:pPr>
              <w:pStyle w:val="Normal"/>
              <w:widowControl w:val="false"/>
              <w:spacing w:lineRule="exact" w:line="200"/>
              <w:ind w:left="44" w:hanging="0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ФЕДЕРАЛЬНОЕ АГЕНТСТВО ВОДНЫХ РЕСУРСОВ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</w:r>
          </w:p>
          <w:p>
            <w:pPr>
              <w:pStyle w:val="1"/>
              <w:widowControl w:val="false"/>
              <w:spacing w:before="80" w:after="0"/>
              <w:ind w:firstLine="110"/>
              <w:jc w:val="center"/>
              <w:rPr>
                <w:b/>
                <w:b/>
                <w:color w:val="FFFFFF" w:themeColor="background1"/>
                <w:spacing w:val="-20"/>
                <w:sz w:val="24"/>
              </w:rPr>
            </w:pPr>
            <w:r>
              <w:rPr>
                <w:b/>
                <w:color w:val="FFFFFF" w:themeColor="background1"/>
                <w:spacing w:val="-20"/>
                <w:sz w:val="24"/>
              </w:rPr>
              <w:t>НЕВСКО-ЛАДОЖСКОЕ</w:t>
            </w:r>
          </w:p>
          <w:p>
            <w:pPr>
              <w:pStyle w:val="1"/>
              <w:widowControl w:val="false"/>
              <w:spacing w:before="80" w:after="0"/>
              <w:ind w:left="71" w:hanging="27"/>
              <w:jc w:val="center"/>
              <w:rPr>
                <w:b/>
                <w:b/>
                <w:color w:val="FFFFFF" w:themeColor="background1"/>
                <w:spacing w:val="-20"/>
                <w:sz w:val="24"/>
              </w:rPr>
            </w:pPr>
            <w:r>
              <w:rPr>
                <w:b/>
                <w:color w:val="FFFFFF" w:themeColor="background1"/>
                <w:spacing w:val="-20"/>
                <w:sz w:val="24"/>
              </w:rPr>
              <w:t>БАССЕЙНОВОЕ ВОДНОЕ УПРАВЛЕНИЕ</w:t>
            </w:r>
          </w:p>
          <w:p>
            <w:pPr>
              <w:pStyle w:val="1"/>
              <w:widowControl w:val="false"/>
              <w:ind w:hanging="0"/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</w:r>
          </w:p>
          <w:p>
            <w:pPr>
              <w:pStyle w:val="Normal"/>
              <w:widowControl w:val="false"/>
              <w:ind w:right="-675" w:hanging="0"/>
              <w:jc w:val="center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199004, Санкт-Петербург, В.О., Средний  пр., 26</w:t>
            </w:r>
          </w:p>
          <w:p>
            <w:pPr>
              <w:pStyle w:val="Normal"/>
              <w:widowControl w:val="false"/>
              <w:ind w:right="-675" w:hanging="0"/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8"/>
              </w:rPr>
              <w:t>Телефон (812) 323-37-36,  факс: (812) 328-76-71</w:t>
            </w:r>
          </w:p>
          <w:p>
            <w:pPr>
              <w:pStyle w:val="Normal"/>
              <w:widowControl w:val="false"/>
              <w:ind w:right="-675" w:hanging="0"/>
              <w:jc w:val="center"/>
              <w:rPr>
                <w:color w:val="FFFFFF" w:themeColor="background1"/>
                <w:sz w:val="16"/>
              </w:rPr>
            </w:pPr>
            <w:r>
              <w:rPr>
                <w:color w:val="FFFFFF" w:themeColor="background1"/>
                <w:sz w:val="16"/>
                <w:lang w:val="en-US"/>
              </w:rPr>
              <w:t>E</w:t>
            </w:r>
            <w:r>
              <w:rPr>
                <w:color w:val="FFFFFF" w:themeColor="background1"/>
                <w:sz w:val="16"/>
              </w:rPr>
              <w:t>-</w:t>
            </w:r>
            <w:r>
              <w:rPr>
                <w:color w:val="FFFFFF" w:themeColor="background1"/>
                <w:sz w:val="16"/>
                <w:lang w:val="en-US"/>
              </w:rPr>
              <w:t>mail</w:t>
            </w:r>
            <w:r>
              <w:rPr>
                <w:color w:val="FFFFFF" w:themeColor="background1"/>
                <w:sz w:val="16"/>
              </w:rPr>
              <w:t>:</w:t>
            </w:r>
          </w:p>
          <w:p>
            <w:pPr>
              <w:pStyle w:val="Normal"/>
              <w:widowControl w:val="false"/>
              <w:jc w:val="center"/>
              <w:rPr>
                <w:color w:val="FFFFFF" w:themeColor="background1"/>
                <w:sz w:val="10"/>
              </w:rPr>
            </w:pPr>
            <w:r>
              <w:rPr>
                <w:color w:val="FFFFFF" w:themeColor="background1"/>
                <w:sz w:val="10"/>
              </w:rPr>
            </w:r>
          </w:p>
          <w:p>
            <w:pPr>
              <w:pStyle w:val="Normal"/>
              <w:widowControl w:val="false"/>
              <w:jc w:val="center"/>
              <w:rPr>
                <w:color w:val="FFFFFF" w:themeColor="background1"/>
                <w:sz w:val="10"/>
              </w:rPr>
            </w:pPr>
            <w:r>
              <w:rPr>
                <w:color w:val="FFFFFF" w:themeColor="background1"/>
                <w:sz w:val="10"/>
              </w:rPr>
            </w:r>
          </w:p>
          <w:p>
            <w:pPr>
              <w:pStyle w:val="Normal"/>
              <w:widowControl w:val="false"/>
              <w:spacing w:before="120" w:after="0"/>
              <w:ind w:left="356" w:hanging="0"/>
              <w:rPr>
                <w:color w:val="FFFFFF" w:themeColor="background1"/>
                <w:sz w:val="18"/>
              </w:rPr>
            </w:pPr>
            <w:r>
              <w:rPr>
                <w:color w:val="FFFFFF" w:themeColor="background1"/>
                <w:sz w:val="18"/>
              </w:rPr>
              <w:t>__</w:t>
            </w:r>
          </w:p>
          <w:p>
            <w:pPr>
              <w:pStyle w:val="Normal"/>
              <w:widowControl w:val="false"/>
              <w:spacing w:before="120" w:after="0"/>
              <w:ind w:left="356" w:hanging="0"/>
              <w:rPr>
                <w:color w:val="FFFFFF" w:themeColor="background1"/>
              </w:rPr>
            </w:pPr>
            <w:r>
              <w:rPr>
                <w:color w:val="FFFFFF" w:themeColor="background1"/>
                <w:sz w:val="18"/>
              </w:rPr>
              <w:t>________________________№____________________</w:t>
            </w:r>
          </w:p>
          <w:p>
            <w:pPr>
              <w:pStyle w:val="Normal"/>
              <w:widowControl w:val="false"/>
              <w:spacing w:before="240" w:after="0"/>
              <w:ind w:left="357" w:hanging="0"/>
              <w:rPr/>
            </w:pPr>
            <w:r>
              <w:rPr>
                <w:sz w:val="22"/>
                <w:szCs w:val="22"/>
              </w:rPr>
              <w:t>О представлении статистического</w:t>
            </w:r>
          </w:p>
          <w:p>
            <w:pPr>
              <w:pStyle w:val="Normal"/>
              <w:widowControl w:val="false"/>
              <w:ind w:left="356" w:hanging="0"/>
              <w:rPr/>
            </w:pPr>
            <w:r>
              <w:rPr>
                <w:sz w:val="22"/>
                <w:szCs w:val="22"/>
              </w:rPr>
              <w:t>наблюдения по форме № 2-ТП (водхоз)</w:t>
            </w:r>
          </w:p>
          <w:p>
            <w:pPr>
              <w:pStyle w:val="Normal"/>
              <w:widowControl w:val="false"/>
              <w:ind w:left="356" w:hanging="0"/>
              <w:rPr/>
            </w:pPr>
            <w:r>
              <w:rPr>
                <w:sz w:val="22"/>
                <w:szCs w:val="22"/>
              </w:rPr>
              <w:t>за 2022 год</w:t>
            </w:r>
          </w:p>
        </w:tc>
        <w:tc>
          <w:tcPr>
            <w:tcW w:w="4593" w:type="dxa"/>
            <w:tcBorders/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организации</w:t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-10" w:leader="none"/>
                <w:tab w:val="left" w:pos="230" w:leader="none"/>
              </w:tabs>
              <w:ind w:left="110" w:hanging="0"/>
              <w:jc w:val="right"/>
              <w:rPr/>
            </w:pPr>
            <w:r>
              <w:rPr/>
            </w:r>
          </w:p>
        </w:tc>
      </w:tr>
    </w:tbl>
    <w:p>
      <w:pPr>
        <w:pStyle w:val="Normal"/>
        <w:spacing w:before="240" w:after="0"/>
        <w:ind w:firstLine="709"/>
        <w:jc w:val="both"/>
        <w:rPr>
          <w:b/>
          <w:b/>
        </w:rPr>
      </w:pPr>
      <w:r>
        <w:rPr/>
        <w:t xml:space="preserve">На основании Положения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учета, утвержденного постановлением Правительства Российской Федерации от 18.08.2008 № 620 и в соответствии с приказом Росстата от 27.12.2019 № 815 «Об утверждении формы федерального статистического наблюдения с указаниями по её заполнению для организации Федеральным агентством водных ресурсов федерального статистического наблюдения об использовании воды» (далее – Приказ Росстата № 815), </w:t>
      </w:r>
      <w:r>
        <w:rPr>
          <w:b/>
        </w:rPr>
        <w:t xml:space="preserve">Вашей организации необходимо представить в отдел водных ресурсов Невско-Ладожского БВУ, по месту осуществления водопользования, отчет по форме федерального статистического наблюдения </w:t>
      </w:r>
      <w:hyperlink r:id="rId2">
        <w:r>
          <w:rPr>
            <w:b/>
          </w:rPr>
          <w:t>№ 2-ТП (водхоз)</w:t>
        </w:r>
      </w:hyperlink>
      <w:r>
        <w:rPr>
          <w:b/>
        </w:rPr>
        <w:t xml:space="preserve"> «Сведения об использовании воды» за 2022 год (далее – отчет по форме № 2-ТП (водхоз) за 2022 год).</w:t>
      </w:r>
    </w:p>
    <w:p>
      <w:pPr>
        <w:pStyle w:val="Normal"/>
        <w:ind w:firstLine="709"/>
        <w:jc w:val="both"/>
        <w:rPr>
          <w:b/>
          <w:b/>
          <w:u w:val="single"/>
        </w:rPr>
      </w:pPr>
      <w:r>
        <w:rPr>
          <w:b/>
          <w:u w:val="single"/>
        </w:rPr>
        <w:t xml:space="preserve">Актуальную информацию об организации приёма отчетов по форме № 2-ТП (водхоз) за 2022 год следует уточнять в отделе водных ресурсов Невско-Ладожского БВУ, по месту осуществления водопользования. 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>Сведения об использовании воды по форме № 2-ТП (водхоз) за 2022 год предоставляются должностным лицом, назначенным руководителем юридического лица представлять указанные сведения от имени юридического лица.</w:t>
      </w:r>
    </w:p>
    <w:p>
      <w:pPr>
        <w:pStyle w:val="Normal"/>
        <w:ind w:firstLine="709"/>
        <w:jc w:val="both"/>
        <w:rPr/>
      </w:pPr>
      <w:r>
        <w:rPr/>
        <w:t>Для проверки достоверности первичных статистических данных – отчет</w:t>
      </w:r>
      <w:r>
        <w:rPr>
          <w:rFonts w:eastAsia="Calibri" w:eastAsiaTheme="minorHAnsi"/>
          <w:lang w:eastAsia="en-US"/>
        </w:rPr>
        <w:t xml:space="preserve"> по форме № 2-ТП (водхоз) за 2022 год</w:t>
      </w:r>
      <w:r>
        <w:rPr/>
        <w:t xml:space="preserve">, </w:t>
      </w:r>
      <w:r>
        <w:rPr>
          <w:b/>
        </w:rPr>
        <w:t xml:space="preserve">просим Вас направить в отдел водных ресурсов Невско-Ладожского БВУ, по месту осуществления водопользования, </w:t>
      </w:r>
      <w:r>
        <w:rPr>
          <w:b/>
          <w:u w:val="single"/>
        </w:rPr>
        <w:t>до 22 января 2023 года</w:t>
      </w:r>
      <w:r>
        <w:rPr>
          <w:b/>
        </w:rPr>
        <w:t xml:space="preserve"> включительно уполномоченного представителя, имеющего при себе следующие документы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>Правовой документ, подтверждающий полномочия должностного лица, представлять отчет по форме № 2-ТП (водхоз) за 2022 год от имени юридического лица (доверенность).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 xml:space="preserve">Заполненный отчет по форме № 2-ТП (водхоз) за 2022 год (первичный учет использования вод ведется по формам ведения учета объема забора (изъятия) водных ресурсов из водных объектов и объема сброса сточных и (или) дренажных вод, их качества, утвержденным приказом Минприроды </w:t>
      </w:r>
      <w:r>
        <w:rPr>
          <w:rFonts w:eastAsia="Calibri" w:eastAsiaTheme="minorHAnsi"/>
          <w:lang w:eastAsia="en-US"/>
        </w:rPr>
        <w:t xml:space="preserve">России от 09.11.2020 № 903) предоставляется </w:t>
      </w:r>
      <w:r>
        <w:rPr/>
        <w:t>на бумажном и электронном носителях в следующем виде</w:t>
      </w:r>
      <w:r>
        <w:rPr>
          <w:rFonts w:eastAsia="Calibri" w:eastAsiaTheme="minorHAnsi"/>
          <w:lang w:eastAsia="en-US"/>
        </w:rPr>
        <w:t>:</w:t>
      </w:r>
    </w:p>
    <w:p>
      <w:pPr>
        <w:pStyle w:val="ListParagraph"/>
        <w:tabs>
          <w:tab w:val="clear" w:pos="708"/>
          <w:tab w:val="left" w:pos="709" w:leader="none"/>
        </w:tabs>
        <w:ind w:left="0" w:hanging="0"/>
        <w:jc w:val="both"/>
        <w:rPr/>
      </w:pPr>
      <w:r>
        <w:rPr>
          <w:rFonts w:eastAsia="Calibri" w:eastAsiaTheme="minorHAnsi"/>
          <w:lang w:eastAsia="en-US"/>
        </w:rPr>
        <w:t xml:space="preserve">- </w:t>
      </w:r>
      <w:r>
        <w:rPr/>
        <w:t>в 3-х экземплярах (один оригинал, две копии) для водопользователей, осуществляющих сброс сточных и (или) дренажных вод в водные объекты;</w:t>
      </w:r>
    </w:p>
    <w:p>
      <w:pPr>
        <w:pStyle w:val="ListParagraph"/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>- в 2-х экземплярах (один оригинал, одна копия) для водопользователей, не имеющих сброс сточных и (или) дренажных вод в водные объекты.</w:t>
      </w:r>
    </w:p>
    <w:p>
      <w:pPr>
        <w:pStyle w:val="ListParagraph"/>
        <w:tabs>
          <w:tab w:val="clear" w:pos="708"/>
          <w:tab w:val="left" w:pos="709" w:leader="none"/>
        </w:tabs>
        <w:ind w:left="0" w:firstLine="709"/>
        <w:jc w:val="both"/>
        <w:rPr/>
      </w:pPr>
      <w:r>
        <w:rPr/>
        <w:t>Отчет заверяется подписью должностного лица, ответственного за предоставление отчета по форме № 2-ТП (водхоз) за 2022 год.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Обращаем Ваше внимание, что в соответствии с Приказом Росстата № 815:</w:t>
      </w:r>
    </w:p>
    <w:p>
      <w:pPr>
        <w:pStyle w:val="Normal"/>
        <w:ind w:firstLine="709"/>
        <w:jc w:val="both"/>
        <w:rPr/>
      </w:pPr>
      <w:r>
        <w:rPr/>
        <w:t>Заполнение бланка формы № 2-ТП (водхоз) на бумажном носителе должно быть четким и разборчивым, заполнение карандашом не допускается.</w:t>
      </w:r>
    </w:p>
    <w:p>
      <w:pPr>
        <w:pStyle w:val="Normal"/>
        <w:ind w:firstLine="709"/>
        <w:jc w:val="both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В случае обнаружения респондентом или принимающим органом ошибок в заполненном бланке </w:t>
      </w:r>
      <w:r>
        <w:rPr/>
        <w:t xml:space="preserve">формы № 2-ТП (водхоз) </w:t>
      </w:r>
      <w:r>
        <w:rPr>
          <w:rFonts w:eastAsia="Calibri" w:eastAsiaTheme="minorHAnsi"/>
          <w:lang w:eastAsia="en-US"/>
        </w:rPr>
        <w:t>респондент заполняет новый бланк и передает его принимающему органу.</w:t>
      </w:r>
    </w:p>
    <w:p>
      <w:pPr>
        <w:pStyle w:val="Normal"/>
        <w:spacing w:before="120" w:after="120"/>
        <w:ind w:firstLine="709"/>
        <w:jc w:val="both"/>
        <w:rPr>
          <w:b/>
          <w:b/>
        </w:rPr>
      </w:pPr>
      <w:r>
        <w:rPr>
          <w:b/>
        </w:rPr>
        <w:t>Для корректного заполнения формы № 2-ТП (водхоз) за 2022 год, с целью минимизации ошибок, рекомендуем Вам обратиться в отдел водных ресурсов Невско-Ладожского БВУ, по месту осуществления водопользования, с запросом о предоставлении отчета по форме № 2-ТП (водхоз) за 2021 год.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hanging="0"/>
        <w:jc w:val="both"/>
        <w:rPr>
          <w:b/>
          <w:b/>
          <w:u w:val="single"/>
        </w:rPr>
      </w:pPr>
      <w:r>
        <w:rPr>
          <w:b/>
          <w:u w:val="single"/>
        </w:rPr>
        <w:t>К отчету по форме № 2-ТП (водхоз) за 2022 год должны быть приложены следующие документы и материалы: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</w:rPr>
        <w:t>Файл в электронном виде (сведения в электронной форме формата .</w:t>
      </w:r>
      <w:r>
        <w:rPr>
          <w:rFonts w:cs="Times New Roman" w:ascii="Times New Roman" w:hAnsi="Times New Roman"/>
          <w:sz w:val="24"/>
          <w:szCs w:val="24"/>
          <w:lang w:val="en-US"/>
        </w:rPr>
        <w:t>tp</w:t>
      </w:r>
      <w:r>
        <w:rPr>
          <w:rFonts w:cs="Times New Roman" w:ascii="Times New Roman" w:hAnsi="Times New Roman"/>
          <w:sz w:val="24"/>
          <w:szCs w:val="24"/>
        </w:rPr>
        <w:t>2).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Заполнение электронной формы производится в программе «Модуль респондента» с обязательной установкой «Обновления» справочников, размещенного на официальном сайте ФГБУ «РосИНИВХЦ», по адресу: https://rwec.ru (раздел «Деятельность» - «Отчет по форме № 2-ТП (водхоз), программное обеспечение);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Пояснительная записка с обоснованием произошедших изменений по использованию воды и сбросу сточных вод в отчетном 2022 году относительно предыдущего отчетного 2021 года (строительство и ввод систем оборотного водоснабжения, очистных сооружений, переключение выпусков в систему горканализации, увеличение или уменьшение выпуска продукции и т.д.), </w:t>
      </w:r>
      <w:r>
        <w:rPr>
          <w:rFonts w:cs="Times New Roman" w:ascii="Times New Roman" w:hAnsi="Times New Roman"/>
          <w:sz w:val="24"/>
          <w:szCs w:val="24"/>
          <w:u w:val="single"/>
        </w:rPr>
        <w:t>в т.ч. с обязательным указанием причин изменения сброса массы загрязняющих веществ в водные объекты со сточными водами</w:t>
      </w:r>
      <w:r>
        <w:rPr>
          <w:rFonts w:cs="Times New Roman"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b/>
          <w:i/>
          <w:sz w:val="24"/>
          <w:szCs w:val="24"/>
        </w:rPr>
        <w:t>по форме таблицы № 1, приложенной к настоящему письму;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Расчет объемов поверхностных сточных вод для водопользователей, у которых отсутствует контрольно-измерительная аппаратура на выпусках - </w:t>
      </w:r>
      <w:r>
        <w:rPr>
          <w:rFonts w:cs="Times New Roman" w:ascii="Times New Roman" w:hAnsi="Times New Roman"/>
          <w:b/>
          <w:i/>
          <w:sz w:val="24"/>
          <w:szCs w:val="24"/>
        </w:rPr>
        <w:t xml:space="preserve">методика определения объема дождевого (талого) стока, рекомендуемая для расчета, приложена к настоящему письму; 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Сведения о ежемесячных расходах сточных вод и массах сброса загрязняющих веществ в водные объекты, сравнительная характеристика сброса загрязняющих веществ -</w:t>
      </w:r>
      <w:r>
        <w:rPr>
          <w:rFonts w:cs="Times New Roman" w:ascii="Times New Roman" w:hAnsi="Times New Roman"/>
          <w:b/>
          <w:i/>
          <w:sz w:val="24"/>
          <w:szCs w:val="24"/>
        </w:rPr>
        <w:t>по формам таблиц № 2 и № 3, приложенных к настоящему письму;</w:t>
      </w:r>
    </w:p>
    <w:p>
      <w:pPr>
        <w:pStyle w:val="ConsPlusNormal"/>
        <w:widowControl/>
        <w:numPr>
          <w:ilvl w:val="0"/>
          <w:numId w:val="2"/>
        </w:numPr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Справка-уведомление Росстата с реквизитами предприятия, необходимыми для заполнения адресной части формы № 2-ТП (водхоз).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адресной части формы № 2-ТП (водхоз) проставляется код основного вида экономической деятельности (ОКВЭД2)!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использовании воды в нескольких видах экономической деятельности, допускается отнесение общего объема забора, использования и отведения воды к одному, наиболее водоемкому виду деятельности;</w:t>
      </w:r>
    </w:p>
    <w:p>
      <w:pPr>
        <w:pStyle w:val="ConsPlusNormal"/>
        <w:widowControl/>
        <w:numPr>
          <w:ilvl w:val="0"/>
          <w:numId w:val="2"/>
        </w:numPr>
        <w:spacing w:before="0" w:after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забора воды из централизованной сети другого предприятия или сбросе сточных вод в централизованную сеть другого предприятия, объемы забранной (сброшенной) воды должны быть согласованы этими предприятиями – предоставляется Справка, подписанная руководителями двух организаций (организация респондента и организация, предоставляющая услуги по водопользованию).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ind w:left="0" w:hanging="0"/>
        <w:jc w:val="both"/>
        <w:rPr>
          <w:b/>
          <w:b/>
        </w:rPr>
      </w:pPr>
      <w:r>
        <w:rPr>
          <w:b/>
        </w:rPr>
        <w:t xml:space="preserve">Кроме того, </w:t>
      </w:r>
      <w:r>
        <w:rPr>
          <w:b/>
          <w:u w:val="single"/>
        </w:rPr>
        <w:t>должностному лицу</w:t>
      </w:r>
      <w:r>
        <w:rPr>
          <w:b/>
        </w:rPr>
        <w:t xml:space="preserve">, представляющему отчет по форме № 2-ТП (водхоз) за 2022 год от имени юридического лица, </w:t>
      </w:r>
      <w:r>
        <w:rPr>
          <w:b/>
          <w:u w:val="single"/>
        </w:rPr>
        <w:t>необходимо иметь при себе следующие документы</w:t>
      </w:r>
      <w:r>
        <w:rPr>
          <w:b/>
        </w:rPr>
        <w:t xml:space="preserve"> </w:t>
      </w:r>
      <w:r>
        <w:rPr>
          <w:b/>
          <w:u w:val="single"/>
        </w:rPr>
        <w:t>(не сдаются</w:t>
      </w:r>
      <w:r>
        <w:rPr>
          <w:b/>
        </w:rPr>
        <w:t xml:space="preserve"> в отдел водных ресурсов Невско-Ладожского БВУ, по месту осуществления водопользования):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 xml:space="preserve">программа регулярных наблюдений за водным объектом и его водоохранной зоной, согласованная с Невско-Ладожским БВУ или его отделом – оригинал или копия, </w:t>
      </w:r>
      <w:r>
        <w:rPr>
          <w:rFonts w:eastAsia="Calibri" w:eastAsiaTheme="minorHAnsi"/>
          <w:lang w:eastAsia="en-US"/>
        </w:rPr>
        <w:t>заверенная руководителем юридического лица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 xml:space="preserve">Протоколы результатов анализов проб воды, выполненных в 2022 году, в соответствии с программой регулярных наблюдений за водным объектом и его водоохранной зоной, согласованной с Невско-Ладожским БВУ или его отделом - оригиналы или копии, </w:t>
      </w:r>
      <w:r>
        <w:rPr>
          <w:rFonts w:eastAsia="Calibri" w:eastAsiaTheme="minorHAnsi"/>
          <w:lang w:eastAsia="en-US"/>
        </w:rPr>
        <w:t>заверенные руководителем юридического лица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>Копии аттестата аккредитации лаборатории, которая выполняла отбор проб и анализы проб воды в 2022 году, области аккредитации с диапазонами определения ингредиентов и лицензии Федеральной службы по гидрометеорологии и мониторингу окружающей среды, заверенные этими лабораториями;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 xml:space="preserve">Нормативы допустимого сброса веществ и микроорганизмов в водные объекты, утвержденные Невско-Ладожским БВУ и Разрешения на сброс загрязняющих веществ - оригинал или копия, </w:t>
      </w:r>
      <w:r>
        <w:rPr>
          <w:rFonts w:eastAsia="Calibri" w:eastAsiaTheme="minorHAnsi"/>
          <w:lang w:eastAsia="en-US"/>
        </w:rPr>
        <w:t>заверенная руководителем юридического лица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 xml:space="preserve">Лицензия на водопользование или лицензия на право пользования недрами для добычи подземных вод, договор водопользования или решение о предоставлении водного объекта в пользование - оригинал или копия, </w:t>
      </w:r>
      <w:r>
        <w:rPr>
          <w:rFonts w:eastAsia="Calibri" w:eastAsiaTheme="minorHAnsi"/>
          <w:lang w:eastAsia="en-US"/>
        </w:rPr>
        <w:t>заверенная руководителем юридического лица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 xml:space="preserve">Журнал водопотребления и водоотведения (для водопользователей, имеющих контрольно-измерительную аппаратуру на водозаборах и выпусках сточных вод) - оригинал или копия, </w:t>
      </w:r>
      <w:r>
        <w:rPr>
          <w:rFonts w:eastAsia="Calibri" w:eastAsiaTheme="minorHAnsi"/>
          <w:lang w:eastAsia="en-US"/>
        </w:rPr>
        <w:t>заверенная руководителем юридического лица</w:t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709" w:leader="none"/>
        </w:tabs>
        <w:ind w:left="0" w:hanging="0"/>
        <w:jc w:val="both"/>
        <w:rPr/>
      </w:pPr>
      <w:r>
        <w:rPr/>
        <w:t>План водоохранных мероприятий на 2022 год и отчет по выполнению плана за 2022</w:t>
      </w:r>
      <w:bookmarkStart w:id="0" w:name="_GoBack"/>
      <w:bookmarkEnd w:id="0"/>
      <w:r>
        <w:rPr/>
        <w:t xml:space="preserve"> год - оригинал или копия, </w:t>
      </w:r>
      <w:r>
        <w:rPr>
          <w:rFonts w:eastAsia="Calibri" w:eastAsiaTheme="minorHAnsi"/>
          <w:lang w:eastAsia="en-US"/>
        </w:rPr>
        <w:t>заверенная руководителем юридического лица</w:t>
      </w:r>
      <w:r>
        <w:rPr/>
        <w:t>.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Обращаем Ваше внимание!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установленную:</w:t>
      </w:r>
    </w:p>
    <w:p>
      <w:pPr>
        <w:pStyle w:val="ListParagraph"/>
        <w:numPr>
          <w:ilvl w:val="0"/>
          <w:numId w:val="4"/>
        </w:numPr>
        <w:ind w:left="0" w:hanging="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Статьей 13.19 </w:t>
      </w:r>
      <w:r>
        <w:rPr>
          <w:rFonts w:eastAsia="Calibri" w:eastAsiaTheme="minorHAnsi"/>
          <w:b/>
          <w:bCs/>
          <w:lang w:eastAsia="en-US"/>
        </w:rPr>
        <w:t>Кодекса Российской Федерации об административных правонарушениях от 30.12.2001 № 195-ФЗ;</w:t>
      </w:r>
    </w:p>
    <w:p>
      <w:pPr>
        <w:pStyle w:val="ListParagraph"/>
        <w:numPr>
          <w:ilvl w:val="0"/>
          <w:numId w:val="4"/>
        </w:numPr>
        <w:ind w:left="0" w:hanging="0"/>
        <w:jc w:val="both"/>
        <w:rPr>
          <w:rFonts w:eastAsia="Calibri" w:eastAsiaTheme="minorHAnsi"/>
          <w:b/>
          <w:b/>
          <w:bCs/>
          <w:lang w:eastAsia="en-US"/>
        </w:rPr>
      </w:pPr>
      <w:r>
        <w:rPr>
          <w:b/>
        </w:rPr>
        <w:t xml:space="preserve">Статьей 3 </w:t>
      </w:r>
      <w:r>
        <w:rPr>
          <w:rFonts w:eastAsia="Calibri" w:eastAsiaTheme="minorHAnsi"/>
          <w:b/>
          <w:bCs/>
          <w:lang w:eastAsia="en-US"/>
        </w:rPr>
        <w:t>Закона РФ «Об ответственности за нарушение порядка представления государственной статистической отчетности» от 13.05.1992 № 2761-1.</w:t>
      </w:r>
    </w:p>
    <w:p>
      <w:pPr>
        <w:pStyle w:val="Normal"/>
        <w:spacing w:before="0" w:after="240"/>
        <w:ind w:firstLine="425"/>
        <w:jc w:val="both"/>
        <w:rPr/>
      </w:pPr>
      <w:r>
        <w:rPr/>
        <w:t>Приложение: Методика по расчету дождевого (талого) стока и Таблицы 1, 2, 3 - на 2 л.</w:t>
      </w:r>
    </w:p>
    <w:p>
      <w:pPr>
        <w:pStyle w:val="Normal"/>
        <w:jc w:val="both"/>
        <w:rPr>
          <w:sz w:val="20"/>
        </w:rPr>
      </w:pPr>
      <w:r>
        <w:rPr/>
      </w:r>
    </w:p>
    <w:p>
      <w:pPr>
        <w:pStyle w:val="Normal"/>
        <w:jc w:val="both"/>
        <w:rPr>
          <w:sz w:val="20"/>
        </w:rPr>
      </w:pPr>
      <w:r>
        <w:rPr/>
      </w:r>
    </w:p>
    <w:p>
      <w:pPr>
        <w:pStyle w:val="Normal"/>
        <w:jc w:val="both"/>
        <w:rPr>
          <w:sz w:val="20"/>
        </w:rPr>
      </w:pPr>
      <w:r>
        <w:rPr/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/>
      </w:r>
    </w:p>
    <w:sectPr>
      <w:footerReference w:type="default" r:id="rId3"/>
      <w:type w:val="nextPage"/>
      <w:pgSz w:w="11906" w:h="16838"/>
      <w:pgMar w:left="1701" w:right="850" w:gutter="0" w:header="0" w:top="1134" w:footer="545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righ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/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23d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d123d8"/>
    <w:pPr>
      <w:keepNext w:val="true"/>
      <w:widowControl w:val="false"/>
      <w:ind w:firstLine="709"/>
      <w:jc w:val="both"/>
      <w:outlineLvl w:val="0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d123d8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d123d8"/>
    <w:rPr>
      <w:rFonts w:ascii="Tahoma" w:hAnsi="Tahoma" w:eastAsia="Times New Roman" w:cs="Tahoma"/>
      <w:sz w:val="16"/>
      <w:szCs w:val="16"/>
      <w:lang w:eastAsia="ru-RU"/>
    </w:rPr>
  </w:style>
  <w:style w:type="character" w:styleId="Style14">
    <w:name w:val="Hyperlink"/>
    <w:basedOn w:val="DefaultParagraphFont"/>
    <w:uiPriority w:val="99"/>
    <w:unhideWhenUsed/>
    <w:rsid w:val="003f02b3"/>
    <w:rPr>
      <w:color w:val="0563C1" w:themeColor="hyperlink"/>
      <w:u w:val="single"/>
    </w:rPr>
  </w:style>
  <w:style w:type="character" w:styleId="Style15" w:customStyle="1">
    <w:name w:val="Основной текст Знак"/>
    <w:basedOn w:val="DefaultParagraphFont"/>
    <w:qFormat/>
    <w:rsid w:val="00726e7a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6a08a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6a08a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1062d8"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Style15"/>
    <w:rsid w:val="00726e7a"/>
    <w:pPr/>
    <w:rPr>
      <w:szCs w:val="20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d123d8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14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0d30d8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6"/>
    <w:uiPriority w:val="99"/>
    <w:unhideWhenUsed/>
    <w:rsid w:val="006a08a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7"/>
    <w:uiPriority w:val="99"/>
    <w:unhideWhenUsed/>
    <w:rsid w:val="006a08a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416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4E82E4D8FC959FEE26F2079441458E2586CF135B9CC8B4303DD6F54F8FB930279E533B665BBD00E35A441BE313D12978BAD945B9C4D7F0z531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Application>LibreOffice/7.4.0.3$Windows_X86_64 LibreOffice_project/f85e47c08ddd19c015c0114a68350214f7066f5a</Application>
  <AppVersion>15.0000</AppVersion>
  <Pages>3</Pages>
  <Words>1056</Words>
  <Characters>7094</Characters>
  <CharactersWithSpaces>8093</CharactersWithSpaces>
  <Paragraphs>48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2019-11-05T14:40:00Z</dcterms:created>
  <dc:creator>Пользователь Windows</dc:creator>
  <dc:description/>
  <dc:language>ru-RU</dc:language>
  <cp:lastModifiedBy/>
  <cp:lastPrinted>2021-11-25T11:35:00Z</cp:lastPrinted>
  <dcterms:modified xsi:type="dcterms:W3CDTF">2022-12-29T12:46:26Z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