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8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По данным ФГБУ «Северо-Западный УГМС» и ФКУ «ЦУКС СЗРЦ МЧС России» на территории Северо-Запада на большинстве рек Новгородской области сохраняется средняя водность и повышение уровней воды.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На большинстве рек Ленинградской области сохраняется средняя водность и отмечено по</w:t>
      </w:r>
      <w:r>
        <w:rPr>
          <w:bCs/>
          <w:color w:val="000000"/>
          <w:sz w:val="28"/>
          <w:szCs w:val="28"/>
          <w:highlight w:val="white"/>
        </w:rPr>
        <w:t>нижение</w:t>
      </w:r>
      <w:r>
        <w:rPr>
          <w:bCs/>
          <w:color w:val="000000"/>
          <w:sz w:val="28"/>
          <w:szCs w:val="28"/>
          <w:highlight w:val="white"/>
        </w:rPr>
        <w:t xml:space="preserve"> уровней воды.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На большинстве рек Республики Карелия, Калининградской и Псковской областей сохраняется средняя водность и понижение уровней воды.</w:t>
      </w:r>
    </w:p>
    <w:p>
      <w:pPr>
        <w:pStyle w:val="15"/>
        <w:spacing w:lineRule="auto" w:line="276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8 см, Ладожского озера в пределах нормы, озера Ильмень ниже нормы на 70 см, Чудского озера ниже нормы на 12 см, отметка уровня Псковского озера в пределах нормы.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На территории Новгородской области по ГП р. Волхов г. Новгород с 09.09.2022 отметка уровня воды достигла неблагоприятной отметки (НЯ) 200 см. На дату отчета отметка уровня воды поднялась до 19</w:t>
      </w:r>
      <w:r>
        <w:rPr>
          <w:bCs/>
          <w:color w:val="000000"/>
          <w:sz w:val="28"/>
          <w:szCs w:val="28"/>
          <w:highlight w:val="white"/>
        </w:rPr>
        <w:t>8</w:t>
      </w:r>
      <w:r>
        <w:rPr>
          <w:bCs/>
          <w:color w:val="000000"/>
          <w:sz w:val="28"/>
          <w:szCs w:val="28"/>
          <w:highlight w:val="white"/>
        </w:rPr>
        <w:t xml:space="preserve"> см (-</w:t>
      </w:r>
      <w:r>
        <w:rPr>
          <w:bCs/>
          <w:color w:val="000000"/>
          <w:sz w:val="28"/>
          <w:szCs w:val="28"/>
          <w:highlight w:val="white"/>
        </w:rPr>
        <w:t>1</w:t>
      </w:r>
      <w:r>
        <w:rPr>
          <w:bCs/>
          <w:color w:val="000000"/>
          <w:sz w:val="28"/>
          <w:szCs w:val="28"/>
          <w:highlight w:val="white"/>
        </w:rPr>
        <w:t>).  НЯ продолжается.</w:t>
      </w:r>
    </w:p>
    <w:p>
      <w:pPr>
        <w:pStyle w:val="Normal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  <w:bookmarkStart w:id="0" w:name="_GoBack"/>
      <w:bookmarkEnd w:id="0"/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А.Д. Журавлева</w:t>
      </w:r>
      <w:r>
        <w:rPr>
          <w:rStyle w:val="11"/>
          <w:sz w:val="28"/>
          <w:szCs w:val="28"/>
        </w:rPr>
        <w:t xml:space="preserve">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eastAsia="zh-CN" w:val="ru-RU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eastAsia="ar-SA" w:val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8DD7-3D0D-441F-B792-DF7036A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182</Words>
  <Characters>1225</Characters>
  <CharactersWithSpaces>1475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2022-09-28T09:51:12Z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